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9370" w14:textId="77777777" w:rsidR="00E11AB7" w:rsidRPr="00D206AD" w:rsidRDefault="00E11AB7" w:rsidP="00E11AB7">
      <w:pPr>
        <w:pStyle w:val="Title"/>
        <w:rPr>
          <w:b/>
        </w:rPr>
      </w:pPr>
      <w:r w:rsidRPr="00D206AD">
        <w:rPr>
          <w:b/>
        </w:rPr>
        <w:t>The Rosewood School</w:t>
      </w:r>
    </w:p>
    <w:p w14:paraId="2F7227E0" w14:textId="63ACF179" w:rsidR="008B2E85" w:rsidRPr="00D206AD" w:rsidRDefault="0007449F" w:rsidP="00E11AB7">
      <w:pPr>
        <w:pStyle w:val="Title"/>
        <w:rPr>
          <w:b/>
        </w:rPr>
      </w:pPr>
      <w:r w:rsidRPr="00D206AD">
        <w:rPr>
          <w:b/>
        </w:rPr>
        <w:t>Work Experience Policy</w:t>
      </w:r>
      <w:r w:rsidR="00540BEA">
        <w:rPr>
          <w:b/>
        </w:rPr>
        <w:t xml:space="preserve"> September 2025</w:t>
      </w:r>
    </w:p>
    <w:p w14:paraId="49707D56" w14:textId="77777777" w:rsidR="008B2E85" w:rsidRPr="00E11AB7" w:rsidRDefault="0007449F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 w:rsidRPr="00E11AB7">
        <w:rPr>
          <w:rFonts w:cstheme="majorHAnsi"/>
          <w:sz w:val="24"/>
          <w:szCs w:val="24"/>
        </w:rPr>
        <w:t>1. Purpose and Vision</w:t>
      </w:r>
    </w:p>
    <w:p w14:paraId="7B853896" w14:textId="77777777" w:rsidR="00E11AB7" w:rsidRPr="00E11AB7" w:rsidRDefault="0007449F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11AB7">
        <w:rPr>
          <w:rFonts w:asciiTheme="majorHAnsi" w:hAnsiTheme="majorHAnsi" w:cstheme="majorHAnsi"/>
          <w:sz w:val="24"/>
          <w:szCs w:val="24"/>
        </w:rPr>
        <w:t>The purpose of this policy is to ensure that all students have access to high-quality, meaningful work e</w:t>
      </w:r>
      <w:r w:rsidR="00E11AB7">
        <w:rPr>
          <w:rFonts w:asciiTheme="majorHAnsi" w:hAnsiTheme="majorHAnsi" w:cstheme="majorHAnsi"/>
          <w:sz w:val="24"/>
          <w:szCs w:val="24"/>
        </w:rPr>
        <w:t>xperience opportunities that:</w:t>
      </w:r>
      <w:r w:rsidR="00E11AB7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5244"/>
      </w:tblGrid>
      <w:tr w:rsidR="00E11AB7" w:rsidRPr="00E11AB7" w14:paraId="537AA3F7" w14:textId="77777777" w:rsidTr="00D206AD">
        <w:tc>
          <w:tcPr>
            <w:tcW w:w="5070" w:type="dxa"/>
            <w:shd w:val="clear" w:color="auto" w:fill="DBE5F1" w:themeFill="accent1" w:themeFillTint="33"/>
          </w:tcPr>
          <w:p w14:paraId="40D8C55C" w14:textId="77777777" w:rsidR="00E11AB7" w:rsidRPr="00E11AB7" w:rsidRDefault="00E11AB7" w:rsidP="00E11AB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Develop social skills, </w:t>
            </w:r>
            <w:r w:rsidRPr="00E11AB7">
              <w:rPr>
                <w:rFonts w:asciiTheme="majorHAnsi" w:hAnsiTheme="majorHAnsi" w:cstheme="majorHAnsi"/>
                <w:sz w:val="24"/>
                <w:szCs w:val="24"/>
              </w:rPr>
              <w:t>resilience, and personal confidence</w:t>
            </w:r>
            <w:r>
              <w:t xml:space="preserve"> 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14:paraId="57181F6E" w14:textId="77777777" w:rsidR="00E11AB7" w:rsidRPr="00E11AB7" w:rsidRDefault="00E11AB7" w:rsidP="00BA0D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1AB7">
              <w:rPr>
                <w:rFonts w:asciiTheme="majorHAnsi" w:hAnsiTheme="majorHAnsi" w:cstheme="majorHAnsi"/>
                <w:sz w:val="24"/>
                <w:szCs w:val="24"/>
              </w:rPr>
              <w:t>Support informed decision-making about future careers, education, and training pathways</w:t>
            </w:r>
          </w:p>
        </w:tc>
      </w:tr>
      <w:tr w:rsidR="00E11AB7" w:rsidRPr="00E11AB7" w14:paraId="37540DD1" w14:textId="77777777" w:rsidTr="00D206AD">
        <w:tc>
          <w:tcPr>
            <w:tcW w:w="5070" w:type="dxa"/>
            <w:shd w:val="clear" w:color="auto" w:fill="DBE5F1" w:themeFill="accent1" w:themeFillTint="33"/>
          </w:tcPr>
          <w:p w14:paraId="22F10EE1" w14:textId="77777777" w:rsidR="00E11AB7" w:rsidRPr="00E11AB7" w:rsidRDefault="00E11AB7" w:rsidP="00BA0D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Give an understanding of employability skills and working in a team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14:paraId="14D4808B" w14:textId="77777777" w:rsidR="00E11AB7" w:rsidRPr="00E11AB7" w:rsidRDefault="00E11AB7" w:rsidP="00BA0D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1AB7">
              <w:rPr>
                <w:rFonts w:asciiTheme="majorHAnsi" w:hAnsiTheme="majorHAnsi" w:cstheme="majorHAnsi"/>
                <w:sz w:val="24"/>
                <w:szCs w:val="24"/>
              </w:rPr>
              <w:t>Build aspirations and challenge stereotypes</w:t>
            </w:r>
          </w:p>
        </w:tc>
      </w:tr>
      <w:tr w:rsidR="00E11AB7" w:rsidRPr="00E11AB7" w14:paraId="50875B47" w14:textId="77777777" w:rsidTr="00D206AD">
        <w:tc>
          <w:tcPr>
            <w:tcW w:w="5070" w:type="dxa"/>
            <w:shd w:val="clear" w:color="auto" w:fill="DBE5F1" w:themeFill="accent1" w:themeFillTint="33"/>
          </w:tcPr>
          <w:p w14:paraId="2EA2E30B" w14:textId="77777777" w:rsidR="00E11AB7" w:rsidRPr="00E11AB7" w:rsidRDefault="00E11AB7" w:rsidP="00BA0D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1AB7">
              <w:rPr>
                <w:rFonts w:asciiTheme="majorHAnsi" w:hAnsiTheme="majorHAnsi" w:cstheme="majorHAnsi"/>
                <w:sz w:val="24"/>
                <w:szCs w:val="24"/>
              </w:rPr>
              <w:t>Broaden students’ understanding of the world of work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14:paraId="39ECE7DA" w14:textId="77777777" w:rsidR="00E11AB7" w:rsidRPr="00E11AB7" w:rsidRDefault="00E11AB7" w:rsidP="00BA0D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E11AB7">
              <w:rPr>
                <w:rFonts w:asciiTheme="majorHAnsi" w:hAnsiTheme="majorHAnsi" w:cstheme="majorHAnsi"/>
                <w:sz w:val="24"/>
                <w:szCs w:val="24"/>
              </w:rPr>
              <w:t>Strengthen partnerships between the school, local employers, parents, and the wider community</w:t>
            </w:r>
          </w:p>
        </w:tc>
      </w:tr>
    </w:tbl>
    <w:p w14:paraId="73C59EC3" w14:textId="5D8FA46C" w:rsidR="008B2E85" w:rsidRPr="00E11AB7" w:rsidRDefault="0007449F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11AB7">
        <w:rPr>
          <w:rFonts w:asciiTheme="majorHAnsi" w:hAnsiTheme="majorHAnsi" w:cstheme="majorHAnsi"/>
          <w:sz w:val="24"/>
          <w:szCs w:val="24"/>
        </w:rPr>
        <w:br/>
        <w:t>This policy is part of the school’s overall careers education, information, advice and guidance (CEIAG) programme, which is structured around the Gatsby Benchmarks and the DfE’s statutory careers guidance requirements.</w:t>
      </w:r>
      <w:r w:rsidR="000C28C6">
        <w:rPr>
          <w:rFonts w:asciiTheme="majorHAnsi" w:hAnsiTheme="majorHAnsi" w:cstheme="majorHAnsi"/>
          <w:sz w:val="24"/>
          <w:szCs w:val="24"/>
        </w:rPr>
        <w:br/>
      </w:r>
      <w:r w:rsidR="000C28C6">
        <w:rPr>
          <w:rFonts w:asciiTheme="majorHAnsi" w:hAnsiTheme="majorHAnsi" w:cstheme="majorHAnsi"/>
          <w:sz w:val="24"/>
          <w:szCs w:val="24"/>
        </w:rPr>
        <w:br/>
        <w:t>It should be noted that pupils at TRS in Key Stage 3 and Year 10 of Key Stage 4 generally remain at the school for a period of 12 weeks only.  Because of this, the terms of this policy can only relate to the pupils on roll at the time the work experience activities take place.</w:t>
      </w:r>
      <w:r w:rsidR="008A7DB4">
        <w:rPr>
          <w:rFonts w:asciiTheme="majorHAnsi" w:hAnsiTheme="majorHAnsi" w:cstheme="majorHAnsi"/>
          <w:sz w:val="24"/>
          <w:szCs w:val="24"/>
        </w:rPr>
        <w:t xml:space="preserve">  TRS Staplehurst is part of the Kent and Medway Adolescent Hospital and a pupil’s time within the school is governed by their admission period in the hospital.</w:t>
      </w:r>
    </w:p>
    <w:p w14:paraId="7F689539" w14:textId="77777777" w:rsidR="008B2E85" w:rsidRPr="00E11AB7" w:rsidRDefault="0007449F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 w:rsidRPr="00E11AB7">
        <w:rPr>
          <w:rFonts w:cstheme="majorHAnsi"/>
          <w:sz w:val="24"/>
          <w:szCs w:val="24"/>
        </w:rPr>
        <w:t>2. Links to the Gatsby Benchmarks</w:t>
      </w:r>
    </w:p>
    <w:p w14:paraId="6A31AB9B" w14:textId="77777777" w:rsidR="00D206AD" w:rsidRPr="00E11AB7" w:rsidRDefault="0007449F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E11AB7">
        <w:rPr>
          <w:rFonts w:asciiTheme="majorHAnsi" w:hAnsiTheme="majorHAnsi" w:cstheme="majorHAnsi"/>
          <w:sz w:val="24"/>
          <w:szCs w:val="24"/>
        </w:rPr>
        <w:t xml:space="preserve">Work experience contributes directly to </w:t>
      </w:r>
      <w:r w:rsidRPr="00D206AD">
        <w:rPr>
          <w:rFonts w:asciiTheme="majorHAnsi" w:hAnsiTheme="majorHAnsi" w:cstheme="majorHAnsi"/>
          <w:b/>
          <w:sz w:val="24"/>
          <w:szCs w:val="24"/>
        </w:rPr>
        <w:t>Benchmark 6: Experiences of Workplaces</w:t>
      </w:r>
      <w:r w:rsidRPr="00E11AB7">
        <w:rPr>
          <w:rFonts w:asciiTheme="majorHAnsi" w:hAnsiTheme="majorHAnsi" w:cstheme="majorHAnsi"/>
          <w:sz w:val="24"/>
          <w:szCs w:val="24"/>
        </w:rPr>
        <w:t>, but is interl</w:t>
      </w:r>
      <w:r w:rsidR="00D206AD">
        <w:rPr>
          <w:rFonts w:asciiTheme="majorHAnsi" w:hAnsiTheme="majorHAnsi" w:cstheme="majorHAnsi"/>
          <w:sz w:val="24"/>
          <w:szCs w:val="24"/>
        </w:rPr>
        <w:t>inked with other benchmarks:</w:t>
      </w:r>
      <w:r w:rsidR="00D206AD">
        <w:rPr>
          <w:rFonts w:asciiTheme="majorHAnsi" w:hAnsiTheme="majorHAnsi" w:cstheme="majorHAnsi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6946"/>
      </w:tblGrid>
      <w:tr w:rsidR="00D206AD" w:rsidRPr="00D206AD" w14:paraId="017559BA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0E915BE9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1</w:t>
            </w:r>
          </w:p>
          <w:p w14:paraId="797FC41F" w14:textId="77777777" w:rsidR="00D206AD" w:rsidRPr="00D206AD" w:rsidRDefault="00954082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Stable careers programme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3593C83B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Work experience is a core element of our careers programme and is published online for transparency.</w:t>
            </w:r>
          </w:p>
        </w:tc>
      </w:tr>
      <w:tr w:rsidR="00D206AD" w:rsidRPr="00D206AD" w14:paraId="0D4BA336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0DFFE354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2</w:t>
            </w:r>
          </w:p>
          <w:p w14:paraId="2CC0CE2E" w14:textId="77777777" w:rsidR="00D206AD" w:rsidRPr="00D206AD" w:rsidRDefault="00954082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Labour Market Information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7BB296AF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Students use up-to-date LMI when selecting placements to understand sector trends and job availability.</w:t>
            </w:r>
          </w:p>
        </w:tc>
      </w:tr>
      <w:tr w:rsidR="00D206AD" w:rsidRPr="00D206AD" w14:paraId="1FF1F2C1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29C11294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3</w:t>
            </w:r>
          </w:p>
          <w:p w14:paraId="6EF287F0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Addressin</w:t>
            </w:r>
            <w:r w:rsidR="00954082">
              <w:rPr>
                <w:rFonts w:asciiTheme="majorHAnsi" w:hAnsiTheme="majorHAnsi" w:cstheme="majorHAnsi"/>
                <w:sz w:val="24"/>
                <w:szCs w:val="24"/>
              </w:rPr>
              <w:t>g the needs of each pupil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6955E9A9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Placements are tailored to student interests, abilities, and career aspirations.</w:t>
            </w:r>
          </w:p>
        </w:tc>
      </w:tr>
      <w:tr w:rsidR="00D206AD" w:rsidRPr="00D206AD" w14:paraId="428433FA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1FFAA158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4</w:t>
            </w:r>
          </w:p>
          <w:p w14:paraId="6D0C6E87" w14:textId="77777777" w:rsidR="00D206AD" w:rsidRPr="00D206AD" w:rsidRDefault="00954082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Linking curriculum to careers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10F92EC7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Teachers reference workplace learning in lessons and prepare students for sector-specific placements.</w:t>
            </w:r>
          </w:p>
        </w:tc>
      </w:tr>
      <w:tr w:rsidR="00D206AD" w:rsidRPr="00D206AD" w14:paraId="441DDF28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64CAD3B0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5</w:t>
            </w:r>
          </w:p>
          <w:p w14:paraId="5427E6EB" w14:textId="77777777" w:rsidR="00D206AD" w:rsidRPr="00D206AD" w:rsidRDefault="00954082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Encounters with employers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19D2B95D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Work placements are reinforced by employer visits, talks, and mentoring.</w:t>
            </w:r>
          </w:p>
        </w:tc>
      </w:tr>
      <w:tr w:rsidR="00D206AD" w:rsidRPr="00D206AD" w14:paraId="12623859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4906C81D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7</w:t>
            </w:r>
          </w:p>
          <w:p w14:paraId="2437DE6C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Encounters wi</w:t>
            </w:r>
            <w:r w:rsidR="00954082">
              <w:rPr>
                <w:rFonts w:asciiTheme="majorHAnsi" w:hAnsiTheme="majorHAnsi" w:cstheme="majorHAnsi"/>
                <w:sz w:val="24"/>
                <w:szCs w:val="24"/>
              </w:rPr>
              <w:t>th further and higher education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0E5C9F91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Placements link with apprenticeships, FE/HE providers, and technical education opportunities.</w:t>
            </w:r>
          </w:p>
        </w:tc>
      </w:tr>
      <w:tr w:rsidR="00D206AD" w:rsidRPr="00D206AD" w14:paraId="00F5E3F7" w14:textId="77777777" w:rsidTr="00D206AD">
        <w:tc>
          <w:tcPr>
            <w:tcW w:w="3794" w:type="dxa"/>
            <w:shd w:val="clear" w:color="auto" w:fill="DBE5F1" w:themeFill="accent1" w:themeFillTint="33"/>
          </w:tcPr>
          <w:p w14:paraId="5D186A6C" w14:textId="77777777" w:rsidR="00D206AD" w:rsidRPr="00D206AD" w:rsidRDefault="00D206AD" w:rsidP="002B169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b/>
                <w:sz w:val="24"/>
                <w:szCs w:val="24"/>
              </w:rPr>
              <w:t>Benchmark 8</w:t>
            </w:r>
          </w:p>
          <w:p w14:paraId="0CB7A501" w14:textId="77777777" w:rsidR="00D206AD" w:rsidRPr="00D206AD" w:rsidRDefault="00954082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Personal guidance</w:t>
            </w:r>
          </w:p>
        </w:tc>
        <w:tc>
          <w:tcPr>
            <w:tcW w:w="6946" w:type="dxa"/>
            <w:shd w:val="clear" w:color="auto" w:fill="DBE5F1" w:themeFill="accent1" w:themeFillTint="33"/>
          </w:tcPr>
          <w:p w14:paraId="7C41BCD3" w14:textId="77777777" w:rsidR="00D206AD" w:rsidRPr="00D206AD" w:rsidRDefault="00D206AD" w:rsidP="002B169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206AD">
              <w:rPr>
                <w:rFonts w:asciiTheme="majorHAnsi" w:hAnsiTheme="majorHAnsi" w:cstheme="majorHAnsi"/>
                <w:sz w:val="24"/>
                <w:szCs w:val="24"/>
              </w:rPr>
              <w:t>Every student has at least one personal careers guidance session before and after work experience to reflect on learning.</w:t>
            </w:r>
          </w:p>
        </w:tc>
      </w:tr>
    </w:tbl>
    <w:p w14:paraId="74373133" w14:textId="02BF1768" w:rsidR="008B2E85" w:rsidRDefault="0007449F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 w:rsidRPr="00E11AB7">
        <w:rPr>
          <w:rFonts w:cstheme="majorHAnsi"/>
          <w:sz w:val="24"/>
          <w:szCs w:val="24"/>
        </w:rPr>
        <w:lastRenderedPageBreak/>
        <w:t>3. Definitions</w:t>
      </w:r>
      <w:r w:rsidR="009A467A">
        <w:rPr>
          <w:rFonts w:cstheme="majorHAnsi"/>
          <w:sz w:val="24"/>
          <w:szCs w:val="24"/>
        </w:rPr>
        <w:br/>
      </w:r>
    </w:p>
    <w:p w14:paraId="046773C2" w14:textId="58AB421D" w:rsidR="00954082" w:rsidRPr="00E11AB7" w:rsidRDefault="00D206AD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TRS offers work experience across the full range of </w:t>
      </w:r>
      <w:r w:rsidR="007F6E74">
        <w:rPr>
          <w:rFonts w:asciiTheme="majorHAnsi" w:hAnsiTheme="majorHAnsi" w:cstheme="majorHAnsi"/>
          <w:sz w:val="24"/>
          <w:szCs w:val="24"/>
        </w:rPr>
        <w:t>opportunities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8073"/>
      </w:tblGrid>
      <w:tr w:rsidR="00954082" w:rsidRPr="00954082" w14:paraId="6D95B4E3" w14:textId="77777777" w:rsidTr="00954082">
        <w:tc>
          <w:tcPr>
            <w:tcW w:w="2943" w:type="dxa"/>
            <w:shd w:val="clear" w:color="auto" w:fill="DBE5F1" w:themeFill="accent1" w:themeFillTint="33"/>
          </w:tcPr>
          <w:p w14:paraId="0FD08CA8" w14:textId="77777777" w:rsidR="00954082" w:rsidRPr="00954082" w:rsidRDefault="00954082" w:rsidP="00E36D8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b/>
                <w:sz w:val="24"/>
                <w:szCs w:val="24"/>
              </w:rPr>
              <w:t>Work Experience Placement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4EB0BED4" w14:textId="347376AE" w:rsidR="00954082" w:rsidRPr="00954082" w:rsidRDefault="00954082" w:rsidP="00E36D8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sz w:val="24"/>
                <w:szCs w:val="24"/>
              </w:rPr>
              <w:t>A block of time (5 days) in which students are placed with an employer to carry out tasks or shadow staff.</w:t>
            </w:r>
            <w:r w:rsidR="00197201">
              <w:rPr>
                <w:rFonts w:asciiTheme="majorHAnsi" w:hAnsiTheme="majorHAnsi" w:cstheme="majorHAnsi"/>
                <w:sz w:val="24"/>
                <w:szCs w:val="24"/>
              </w:rPr>
              <w:t xml:space="preserve">  This can be for 5 consecutive days or one day per week over five weeks.</w:t>
            </w:r>
          </w:p>
        </w:tc>
      </w:tr>
      <w:tr w:rsidR="00954082" w:rsidRPr="00954082" w14:paraId="49309745" w14:textId="77777777" w:rsidTr="00954082">
        <w:tc>
          <w:tcPr>
            <w:tcW w:w="2943" w:type="dxa"/>
            <w:shd w:val="clear" w:color="auto" w:fill="DBE5F1" w:themeFill="accent1" w:themeFillTint="33"/>
          </w:tcPr>
          <w:p w14:paraId="23495B8F" w14:textId="77777777" w:rsidR="00954082" w:rsidRPr="00954082" w:rsidRDefault="00954082" w:rsidP="00E36D8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b/>
                <w:sz w:val="24"/>
                <w:szCs w:val="24"/>
              </w:rPr>
              <w:t>Workplace Encounter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504A306D" w14:textId="77777777" w:rsidR="00954082" w:rsidRPr="00954082" w:rsidRDefault="00954082" w:rsidP="00E36D8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sz w:val="24"/>
                <w:szCs w:val="24"/>
              </w:rPr>
              <w:t>Shorter experiences such as workplace visits, job shadowing days, or virtual placements.</w:t>
            </w:r>
          </w:p>
        </w:tc>
      </w:tr>
      <w:tr w:rsidR="00954082" w:rsidRPr="00954082" w14:paraId="0281B2B1" w14:textId="77777777" w:rsidTr="00954082">
        <w:tc>
          <w:tcPr>
            <w:tcW w:w="2943" w:type="dxa"/>
            <w:shd w:val="clear" w:color="auto" w:fill="DBE5F1" w:themeFill="accent1" w:themeFillTint="33"/>
          </w:tcPr>
          <w:p w14:paraId="68280B74" w14:textId="77777777" w:rsidR="00954082" w:rsidRPr="00954082" w:rsidRDefault="00954082" w:rsidP="00E36D8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b/>
                <w:sz w:val="24"/>
                <w:szCs w:val="24"/>
              </w:rPr>
              <w:t>Meaningful Experience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634C55BA" w14:textId="77777777" w:rsidR="00954082" w:rsidRPr="00954082" w:rsidRDefault="00954082" w:rsidP="00E36D8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sz w:val="24"/>
                <w:szCs w:val="24"/>
              </w:rPr>
              <w:t>According to Gatsby, a placement or encounter is meaningful if it is planned with learning outcomes, involves direct interaction with employees, includes relevant tasks or observations, and allows time for reflection and feedback.</w:t>
            </w:r>
          </w:p>
        </w:tc>
      </w:tr>
    </w:tbl>
    <w:p w14:paraId="44B0D5EA" w14:textId="09EBA58D" w:rsidR="008B2E85" w:rsidRPr="00E11AB7" w:rsidRDefault="0007449F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 w:rsidRPr="00E11AB7">
        <w:rPr>
          <w:rFonts w:cstheme="majorHAnsi"/>
          <w:sz w:val="24"/>
          <w:szCs w:val="24"/>
        </w:rPr>
        <w:t>4. Timing and Entitlement</w:t>
      </w:r>
      <w:r w:rsidR="009D0D7C">
        <w:rPr>
          <w:rFonts w:cstheme="majorHAnsi"/>
          <w:sz w:val="24"/>
          <w:szCs w:val="24"/>
        </w:rPr>
        <w:br/>
      </w:r>
      <w:r w:rsidR="009D0D7C">
        <w:rPr>
          <w:rFonts w:cstheme="majorHAnsi"/>
          <w:sz w:val="24"/>
          <w:szCs w:val="24"/>
        </w:rPr>
        <w:br/>
      </w:r>
      <w:r w:rsidR="007F6E74">
        <w:rPr>
          <w:rFonts w:cstheme="majorHAnsi"/>
          <w:b w:val="0"/>
          <w:color w:val="000000" w:themeColor="text1"/>
          <w:sz w:val="24"/>
          <w:szCs w:val="24"/>
        </w:rPr>
        <w:t>TRS will provide a full programme of opportunities which pupils will engage in during their time at the school:</w:t>
      </w:r>
      <w:r w:rsidR="007F6E74">
        <w:rPr>
          <w:rFonts w:cstheme="majorHAnsi"/>
          <w:b w:val="0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8073"/>
      </w:tblGrid>
      <w:tr w:rsidR="00954082" w:rsidRPr="00954082" w14:paraId="11E6A946" w14:textId="77777777" w:rsidTr="00954082">
        <w:tc>
          <w:tcPr>
            <w:tcW w:w="2943" w:type="dxa"/>
            <w:shd w:val="clear" w:color="auto" w:fill="DBE5F1" w:themeFill="accent1" w:themeFillTint="33"/>
          </w:tcPr>
          <w:p w14:paraId="4F0B52E4" w14:textId="77777777" w:rsidR="00954082" w:rsidRPr="00954082" w:rsidRDefault="00954082" w:rsidP="006663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b/>
                <w:sz w:val="24"/>
                <w:szCs w:val="24"/>
              </w:rPr>
              <w:t>Key Stage 3</w:t>
            </w:r>
            <w:r w:rsidRPr="00954082">
              <w:rPr>
                <w:rFonts w:asciiTheme="majorHAnsi" w:hAnsiTheme="majorHAnsi" w:cstheme="majorHAnsi"/>
                <w:sz w:val="24"/>
                <w:szCs w:val="24"/>
              </w:rPr>
              <w:t xml:space="preserve"> (Years 7–9)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7B900D84" w14:textId="77777777" w:rsidR="00197201" w:rsidRDefault="00BF078D" w:rsidP="001972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TRS will offer at both schools a </w:t>
            </w:r>
            <w:r w:rsidR="00954082" w:rsidRPr="00954082">
              <w:rPr>
                <w:rFonts w:asciiTheme="majorHAnsi" w:hAnsiTheme="majorHAnsi" w:cstheme="majorHAnsi"/>
                <w:sz w:val="24"/>
                <w:szCs w:val="24"/>
              </w:rPr>
              <w:t xml:space="preserve">workplace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encounter every term</w:t>
            </w:r>
            <w:r w:rsidR="00954082" w:rsidRPr="0095408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077E05B" w14:textId="10CC6865" w:rsidR="00954082" w:rsidRPr="00954082" w:rsidRDefault="00197201" w:rsidP="001972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All Pupils in Years 9</w:t>
            </w:r>
            <w:r w:rsidRPr="00197201">
              <w:rPr>
                <w:rFonts w:asciiTheme="majorHAnsi" w:hAnsiTheme="majorHAnsi" w:cstheme="majorHAnsi"/>
                <w:sz w:val="24"/>
                <w:szCs w:val="24"/>
              </w:rPr>
              <w:t xml:space="preserve"> will also complete a placement in a working Café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and work towards their Barista C</w:t>
            </w:r>
            <w:r w:rsidRPr="00197201">
              <w:rPr>
                <w:rFonts w:asciiTheme="majorHAnsi" w:hAnsiTheme="majorHAnsi" w:cstheme="majorHAnsi"/>
                <w:sz w:val="24"/>
                <w:szCs w:val="24"/>
              </w:rPr>
              <w:t xml:space="preserve">ertificate.  This will be either Bulunga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 w:rsidRPr="00197201">
              <w:rPr>
                <w:rFonts w:asciiTheme="majorHAnsi" w:hAnsiTheme="majorHAnsi" w:cstheme="majorHAnsi"/>
                <w:sz w:val="24"/>
                <w:szCs w:val="24"/>
              </w:rPr>
              <w:t xml:space="preserve">afé in Leybourne or Maya’s in Herne Bay. </w:t>
            </w:r>
            <w:r w:rsidR="000C28C6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954082" w:rsidRPr="00954082" w14:paraId="2C882D94" w14:textId="77777777" w:rsidTr="00954082">
        <w:tc>
          <w:tcPr>
            <w:tcW w:w="2943" w:type="dxa"/>
            <w:shd w:val="clear" w:color="auto" w:fill="DBE5F1" w:themeFill="accent1" w:themeFillTint="33"/>
          </w:tcPr>
          <w:p w14:paraId="58F8AE55" w14:textId="77777777" w:rsidR="00954082" w:rsidRPr="00954082" w:rsidRDefault="00954082" w:rsidP="0066638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54082">
              <w:rPr>
                <w:rFonts w:asciiTheme="majorHAnsi" w:hAnsiTheme="majorHAnsi" w:cstheme="majorHAnsi"/>
                <w:b/>
                <w:sz w:val="24"/>
                <w:szCs w:val="24"/>
              </w:rPr>
              <w:t>Key Stage 4</w:t>
            </w:r>
            <w:r w:rsidRPr="00954082">
              <w:rPr>
                <w:rFonts w:asciiTheme="majorHAnsi" w:hAnsiTheme="majorHAnsi" w:cstheme="majorHAnsi"/>
                <w:sz w:val="24"/>
                <w:szCs w:val="24"/>
              </w:rPr>
              <w:t xml:space="preserve"> (Years 10–11)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5744D84B" w14:textId="273A81C9" w:rsidR="00954082" w:rsidRDefault="000C28C6" w:rsidP="000C28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TRS will offer</w:t>
            </w:r>
            <w:r w:rsidR="00E15B87">
              <w:rPr>
                <w:rFonts w:asciiTheme="majorHAnsi" w:hAnsiTheme="majorHAnsi" w:cstheme="majorHAnsi"/>
                <w:sz w:val="24"/>
                <w:szCs w:val="24"/>
              </w:rPr>
              <w:t xml:space="preserve"> each pupil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54082" w:rsidRPr="00954082">
              <w:rPr>
                <w:rFonts w:asciiTheme="majorHAnsi" w:hAnsiTheme="majorHAnsi" w:cstheme="majorHAnsi"/>
                <w:sz w:val="24"/>
                <w:szCs w:val="24"/>
              </w:rPr>
              <w:t>one formal work exp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erience placement during Year 10</w:t>
            </w:r>
            <w:r w:rsidR="00954082" w:rsidRPr="00954082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="009D0D7C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BB4E6D">
              <w:rPr>
                <w:rFonts w:asciiTheme="majorHAnsi" w:hAnsiTheme="majorHAnsi" w:cstheme="majorHAnsi"/>
                <w:sz w:val="24"/>
                <w:szCs w:val="24"/>
              </w:rPr>
              <w:t xml:space="preserve">Placements </w:t>
            </w:r>
            <w:r w:rsidR="00E15B87">
              <w:rPr>
                <w:rFonts w:asciiTheme="majorHAnsi" w:hAnsiTheme="majorHAnsi" w:cstheme="majorHAnsi"/>
                <w:sz w:val="24"/>
                <w:szCs w:val="24"/>
              </w:rPr>
              <w:t>take place three times a year in Terms 2, 3 and 6 so that all pupils have an opportunity to take part</w:t>
            </w:r>
            <w:r w:rsidR="009D0D7C">
              <w:rPr>
                <w:rFonts w:asciiTheme="majorHAnsi" w:hAnsiTheme="majorHAnsi" w:cstheme="majorHAnsi"/>
                <w:sz w:val="24"/>
                <w:szCs w:val="24"/>
              </w:rPr>
              <w:t xml:space="preserve">.  Parents and pupils will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be informed of the dates on the school webs</w:t>
            </w:r>
            <w:r w:rsidR="00BB4E6D">
              <w:rPr>
                <w:rFonts w:asciiTheme="majorHAnsi" w:hAnsiTheme="majorHAnsi" w:cstheme="majorHAnsi"/>
                <w:sz w:val="24"/>
                <w:szCs w:val="24"/>
              </w:rPr>
              <w:t xml:space="preserve">ite, </w:t>
            </w:r>
            <w:r w:rsidR="007F6E74">
              <w:rPr>
                <w:rFonts w:asciiTheme="majorHAnsi" w:hAnsiTheme="majorHAnsi" w:cstheme="majorHAnsi"/>
                <w:sz w:val="24"/>
                <w:szCs w:val="24"/>
              </w:rPr>
              <w:t>during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the p</w:t>
            </w:r>
            <w:r w:rsidR="00BB4E6D">
              <w:rPr>
                <w:rFonts w:asciiTheme="majorHAnsi" w:hAnsiTheme="majorHAnsi" w:cstheme="majorHAnsi"/>
                <w:sz w:val="24"/>
                <w:szCs w:val="24"/>
              </w:rPr>
              <w:t>re-admission meeting on joining and via emails home when the placements are arranged.</w:t>
            </w:r>
            <w:bookmarkStart w:id="0" w:name="_GoBack"/>
            <w:bookmarkEnd w:id="0"/>
          </w:p>
          <w:p w14:paraId="072A9C80" w14:textId="0111FA3E" w:rsidR="00BF078D" w:rsidRDefault="00BF078D" w:rsidP="000C28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Should space be available on the Key Stage 3 encounters </w:t>
            </w:r>
            <w:r w:rsidR="007F6E74">
              <w:rPr>
                <w:rFonts w:asciiTheme="majorHAnsi" w:hAnsiTheme="majorHAnsi" w:cstheme="majorHAnsi"/>
                <w:sz w:val="24"/>
                <w:szCs w:val="24"/>
              </w:rPr>
              <w:t>this will be offered to Year 10 pupils.</w:t>
            </w:r>
          </w:p>
          <w:p w14:paraId="08C29985" w14:textId="5CAE66AB" w:rsidR="00BF078D" w:rsidRPr="00954082" w:rsidRDefault="001E3E17" w:rsidP="001972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All </w:t>
            </w:r>
            <w:r w:rsidR="0007449F">
              <w:rPr>
                <w:rFonts w:asciiTheme="majorHAnsi" w:hAnsiTheme="majorHAnsi" w:cstheme="majorHAnsi"/>
                <w:sz w:val="24"/>
                <w:szCs w:val="24"/>
              </w:rPr>
              <w:t xml:space="preserve">Pupils in Years 10 </w:t>
            </w:r>
            <w:r w:rsidR="00BF078D">
              <w:rPr>
                <w:rFonts w:asciiTheme="majorHAnsi" w:hAnsiTheme="majorHAnsi" w:cstheme="majorHAnsi"/>
                <w:sz w:val="24"/>
                <w:szCs w:val="24"/>
              </w:rPr>
              <w:t>will also complete a</w:t>
            </w:r>
            <w:r w:rsidR="00197201">
              <w:rPr>
                <w:rFonts w:asciiTheme="majorHAnsi" w:hAnsiTheme="majorHAnsi" w:cstheme="majorHAnsi"/>
                <w:sz w:val="24"/>
                <w:szCs w:val="24"/>
              </w:rPr>
              <w:t xml:space="preserve"> placement in a working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Café</w:t>
            </w:r>
            <w:r w:rsidR="00197201">
              <w:rPr>
                <w:rFonts w:asciiTheme="majorHAnsi" w:hAnsiTheme="majorHAnsi" w:cstheme="majorHAnsi"/>
                <w:sz w:val="24"/>
                <w:szCs w:val="24"/>
              </w:rPr>
              <w:t xml:space="preserve"> and work towards their Barista Certificate.  This will be either Bulunga Café in Leybourne or Maya’s in Herne Bay.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1E3E17" w:rsidRPr="00954082" w14:paraId="69FD4891" w14:textId="77777777" w:rsidTr="00954082">
        <w:tc>
          <w:tcPr>
            <w:tcW w:w="2943" w:type="dxa"/>
            <w:shd w:val="clear" w:color="auto" w:fill="DBE5F1" w:themeFill="accent1" w:themeFillTint="33"/>
          </w:tcPr>
          <w:p w14:paraId="1E86DD4A" w14:textId="77777777" w:rsidR="001E3E17" w:rsidRPr="001E3E17" w:rsidRDefault="001E3E17" w:rsidP="001E3E1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E3E1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Staplehurst School</w:t>
            </w:r>
          </w:p>
          <w:p w14:paraId="61AB3C62" w14:textId="36E42890" w:rsidR="001E3E17" w:rsidRPr="00954082" w:rsidRDefault="001E3E17" w:rsidP="001E3E1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E3E1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Key Stages 4 </w:t>
            </w:r>
            <w:r w:rsidRPr="001E3E17">
              <w:rPr>
                <w:rFonts w:asciiTheme="majorHAnsi" w:hAnsiTheme="majorHAnsi" w:cstheme="majorHAnsi"/>
                <w:sz w:val="24"/>
                <w:szCs w:val="24"/>
              </w:rPr>
              <w:t>(Years 10-11)</w:t>
            </w:r>
            <w:r w:rsidRPr="001E3E1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&amp; Key Stage 5 </w:t>
            </w:r>
            <w:r w:rsidRPr="001E3E17">
              <w:rPr>
                <w:rFonts w:asciiTheme="majorHAnsi" w:hAnsiTheme="majorHAnsi" w:cstheme="majorHAnsi"/>
                <w:sz w:val="24"/>
                <w:szCs w:val="24"/>
              </w:rPr>
              <w:t>(Years 12-13)</w:t>
            </w:r>
          </w:p>
        </w:tc>
        <w:tc>
          <w:tcPr>
            <w:tcW w:w="8073" w:type="dxa"/>
            <w:shd w:val="clear" w:color="auto" w:fill="DBE5F1" w:themeFill="accent1" w:themeFillTint="33"/>
          </w:tcPr>
          <w:p w14:paraId="01385ABA" w14:textId="57A54C79" w:rsidR="001E3E17" w:rsidRDefault="001E3E17" w:rsidP="000C28C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E3E17">
              <w:rPr>
                <w:rFonts w:asciiTheme="majorHAnsi" w:hAnsiTheme="majorHAnsi" w:cstheme="majorHAnsi"/>
                <w:sz w:val="24"/>
                <w:szCs w:val="24"/>
              </w:rPr>
              <w:t xml:space="preserve">TRS organises throughout the academic year a full programme of in school speakers and activities across a range of employers, charities, professional bodies and higher education providers.   </w:t>
            </w:r>
          </w:p>
        </w:tc>
      </w:tr>
    </w:tbl>
    <w:p w14:paraId="7F494B52" w14:textId="3913E8BE" w:rsidR="008B2E85" w:rsidRDefault="001E3E17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 w:rsidRPr="00E11AB7">
        <w:rPr>
          <w:rFonts w:cstheme="majorHAnsi"/>
          <w:sz w:val="24"/>
          <w:szCs w:val="24"/>
        </w:rPr>
        <w:t xml:space="preserve"> </w:t>
      </w:r>
      <w:r w:rsidR="0007449F" w:rsidRPr="00E11AB7">
        <w:rPr>
          <w:rFonts w:cstheme="majorHAnsi"/>
          <w:sz w:val="24"/>
          <w:szCs w:val="24"/>
        </w:rPr>
        <w:t>5. Roles and Responsibilities</w:t>
      </w:r>
    </w:p>
    <w:p w14:paraId="39DB90B6" w14:textId="77777777" w:rsidR="00992159" w:rsidRPr="00992159" w:rsidRDefault="00992159" w:rsidP="00992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789"/>
      </w:tblGrid>
      <w:tr w:rsidR="00992159" w:rsidRPr="00992159" w14:paraId="7C187139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374B5CC7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Governing Body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6132FCC8" w14:textId="733AA880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Ensures compliance, reviews annually, monitors effectiveness.</w:t>
            </w:r>
          </w:p>
        </w:tc>
      </w:tr>
      <w:tr w:rsidR="00992159" w:rsidRPr="00992159" w14:paraId="5BAD9EC5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50BC9F7A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Senior Leadership Team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6F3EEA40" w14:textId="29B0DF75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Provides support and resources.</w:t>
            </w:r>
          </w:p>
        </w:tc>
      </w:tr>
      <w:tr w:rsidR="00992159" w:rsidRPr="00992159" w14:paraId="71C6ED0A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2EB0DFC8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Careers Leader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5285CAEE" w14:textId="63422E49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Designs, delivers, and assures the programme.</w:t>
            </w:r>
          </w:p>
        </w:tc>
      </w:tr>
      <w:tr w:rsidR="00992159" w:rsidRPr="00992159" w14:paraId="0947156E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77809E01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Work Experience Coordinator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1C3A727E" w14:textId="2D552638" w:rsidR="00992159" w:rsidRPr="00992159" w:rsidRDefault="00992159" w:rsidP="007F6E7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 xml:space="preserve">Sources </w:t>
            </w:r>
            <w:r w:rsidR="007F6E74">
              <w:rPr>
                <w:rFonts w:asciiTheme="majorHAnsi" w:hAnsiTheme="majorHAnsi" w:cstheme="majorHAnsi"/>
                <w:sz w:val="24"/>
                <w:szCs w:val="24"/>
              </w:rPr>
              <w:t>encounters and placement. M</w:t>
            </w: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 xml:space="preserve">anages </w:t>
            </w:r>
            <w:r w:rsidR="007F6E74">
              <w:rPr>
                <w:rFonts w:asciiTheme="majorHAnsi" w:hAnsiTheme="majorHAnsi" w:cstheme="majorHAnsi"/>
                <w:sz w:val="24"/>
                <w:szCs w:val="24"/>
              </w:rPr>
              <w:t xml:space="preserve">administration and </w:t>
            </w: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compliance.</w:t>
            </w:r>
          </w:p>
        </w:tc>
      </w:tr>
      <w:tr w:rsidR="00992159" w:rsidRPr="00992159" w14:paraId="2DF6F3DF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070DE5A5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Teachers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3B2FA5C3" w14:textId="506544E7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Support students with preparation and reflection.</w:t>
            </w:r>
          </w:p>
        </w:tc>
      </w:tr>
      <w:tr w:rsidR="00992159" w:rsidRPr="00992159" w14:paraId="2F64235E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75F6772B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Employers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0B469F91" w14:textId="31D065AB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Provide meaningful and safe placements.</w:t>
            </w:r>
          </w:p>
        </w:tc>
      </w:tr>
      <w:tr w:rsidR="00992159" w:rsidRPr="00992159" w14:paraId="01D4040F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2FAD8EA3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Students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3045D39D" w14:textId="10685250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Take responsibility for preparation and conduct.</w:t>
            </w:r>
          </w:p>
        </w:tc>
      </w:tr>
      <w:tr w:rsidR="00992159" w:rsidRPr="00992159" w14:paraId="5AE47FA3" w14:textId="77777777" w:rsidTr="007F6E74">
        <w:tc>
          <w:tcPr>
            <w:tcW w:w="3227" w:type="dxa"/>
            <w:shd w:val="clear" w:color="auto" w:fill="DBE5F1" w:themeFill="accent1" w:themeFillTint="33"/>
          </w:tcPr>
          <w:p w14:paraId="3DAC54A5" w14:textId="77777777" w:rsidR="00992159" w:rsidRPr="00992159" w:rsidRDefault="00992159" w:rsidP="00A7260D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b/>
                <w:sz w:val="24"/>
                <w:szCs w:val="24"/>
              </w:rPr>
              <w:t>Parents/Carers</w:t>
            </w:r>
          </w:p>
        </w:tc>
        <w:tc>
          <w:tcPr>
            <w:tcW w:w="7789" w:type="dxa"/>
            <w:shd w:val="clear" w:color="auto" w:fill="DBE5F1" w:themeFill="accent1" w:themeFillTint="33"/>
          </w:tcPr>
          <w:p w14:paraId="17380355" w14:textId="6E82FDA9" w:rsidR="00992159" w:rsidRPr="00992159" w:rsidRDefault="00992159" w:rsidP="00A726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992159">
              <w:rPr>
                <w:rFonts w:asciiTheme="majorHAnsi" w:hAnsiTheme="majorHAnsi" w:cstheme="majorHAnsi"/>
                <w:sz w:val="24"/>
                <w:szCs w:val="24"/>
              </w:rPr>
              <w:t>Support students in securing and attending placements.</w:t>
            </w:r>
          </w:p>
        </w:tc>
      </w:tr>
    </w:tbl>
    <w:p w14:paraId="5C579795" w14:textId="2C716D9A" w:rsidR="009C4B59" w:rsidRDefault="009C4B59" w:rsidP="00E11AB7">
      <w:pPr>
        <w:pStyle w:val="Heading1"/>
        <w:spacing w:line="240" w:lineRule="auto"/>
        <w:rPr>
          <w:rFonts w:cstheme="majorHAnsi"/>
          <w:b w:val="0"/>
          <w:color w:val="000000" w:themeColor="text1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6. School Responsibilities</w:t>
      </w:r>
      <w:r>
        <w:rPr>
          <w:rFonts w:cstheme="majorHAnsi"/>
          <w:sz w:val="24"/>
          <w:szCs w:val="24"/>
        </w:rPr>
        <w:br/>
      </w:r>
      <w:r>
        <w:rPr>
          <w:rFonts w:cstheme="majorHAnsi"/>
          <w:sz w:val="24"/>
          <w:szCs w:val="24"/>
        </w:rPr>
        <w:br/>
      </w:r>
      <w:r w:rsidRPr="009C4B59">
        <w:rPr>
          <w:rFonts w:cstheme="majorHAnsi"/>
          <w:b w:val="0"/>
          <w:color w:val="000000" w:themeColor="text1"/>
          <w:sz w:val="24"/>
          <w:szCs w:val="24"/>
        </w:rPr>
        <w:t>TRS uses the online Unifrog work experience placement tool to manage and evidence all placements. Pupils, parents and employers will be invited to use the tool to provide in</w:t>
      </w:r>
      <w:r w:rsidR="003256C0">
        <w:rPr>
          <w:rFonts w:cstheme="majorHAnsi"/>
          <w:b w:val="0"/>
          <w:color w:val="000000" w:themeColor="text1"/>
          <w:sz w:val="24"/>
          <w:szCs w:val="24"/>
        </w:rPr>
        <w:t xml:space="preserve">formation and documents to enable placements to </w:t>
      </w:r>
      <w:r w:rsidRPr="009C4B59">
        <w:rPr>
          <w:rFonts w:cstheme="majorHAnsi"/>
          <w:b w:val="0"/>
          <w:color w:val="000000" w:themeColor="text1"/>
          <w:sz w:val="24"/>
          <w:szCs w:val="24"/>
        </w:rPr>
        <w:t xml:space="preserve">be approved in accordance with the </w:t>
      </w:r>
      <w:r>
        <w:rPr>
          <w:rFonts w:cstheme="majorHAnsi"/>
          <w:b w:val="0"/>
          <w:color w:val="000000" w:themeColor="text1"/>
          <w:sz w:val="24"/>
          <w:szCs w:val="24"/>
        </w:rPr>
        <w:t>statutory vetting requirements of the Education and Skills Act 2008 and Health and Safety law.</w:t>
      </w:r>
      <w:r w:rsidRPr="009C4B59">
        <w:rPr>
          <w:rFonts w:cstheme="majorHAnsi"/>
          <w:b w:val="0"/>
          <w:color w:val="000000" w:themeColor="text1"/>
          <w:sz w:val="24"/>
          <w:szCs w:val="24"/>
        </w:rPr>
        <w:t xml:space="preserve">  </w:t>
      </w:r>
      <w:r>
        <w:rPr>
          <w:rFonts w:cstheme="majorHAnsi"/>
          <w:b w:val="0"/>
          <w:color w:val="000000" w:themeColor="text1"/>
          <w:sz w:val="24"/>
          <w:szCs w:val="24"/>
        </w:rPr>
        <w:br/>
      </w:r>
      <w:r>
        <w:rPr>
          <w:rFonts w:cstheme="majorHAnsi"/>
          <w:b w:val="0"/>
          <w:color w:val="000000" w:themeColor="text1"/>
          <w:sz w:val="24"/>
          <w:szCs w:val="24"/>
        </w:rPr>
        <w:br/>
        <w:t>The school sets out its responsibilities as follows:</w:t>
      </w:r>
      <w:r w:rsidR="003256C0">
        <w:rPr>
          <w:rFonts w:cstheme="majorHAnsi"/>
          <w:b w:val="0"/>
          <w:color w:val="000000" w:themeColor="text1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8222"/>
      </w:tblGrid>
      <w:tr w:rsidR="003256C0" w:rsidRPr="003256C0" w14:paraId="0A4563EB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4C108EF" w14:textId="77777777" w:rsidR="003256C0" w:rsidRPr="003256C0" w:rsidRDefault="003256C0" w:rsidP="003256C0">
            <w:pPr>
              <w:spacing w:after="200"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b/>
                <w:sz w:val="24"/>
                <w:szCs w:val="24"/>
              </w:rPr>
              <w:t>Section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C808A46" w14:textId="77777777" w:rsidR="003256C0" w:rsidRPr="003256C0" w:rsidRDefault="003256C0" w:rsidP="003256C0">
            <w:pPr>
              <w:spacing w:after="200"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b/>
                <w:sz w:val="24"/>
                <w:szCs w:val="24"/>
              </w:rPr>
              <w:t>Responsibilities</w:t>
            </w:r>
          </w:p>
        </w:tc>
      </w:tr>
      <w:tr w:rsidR="003256C0" w:rsidRPr="003256C0" w14:paraId="54303829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316E299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1. Employer &amp; Placement Checks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FFFD236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Confirm the employer provides a safe and suitable environment for students.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Ensure Employer Liability Insurance is valid and adequate.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Request risk assessments for all tasks the student will perform.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Check the employer has safeguarding policies in place.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Confirm DBS checks (or equivalent) if students work with children or vulnerable adults.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Ensure the employer is aware of the student’s age, abilities, and any SEND needs.</w:t>
            </w:r>
          </w:p>
        </w:tc>
      </w:tr>
      <w:tr w:rsidR="003256C0" w:rsidRPr="003256C0" w14:paraId="15E303F7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E74EDD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2. Student Preparation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CC9698C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Provide a pre-placement induction covering health &amp; safety basics, emergency procedures, and appropriate behaviour/dress code.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Explain expectations and responsibilities of the placement.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Provide career guidance linking the placement to future options.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Address individual support needs (e.g., transport, adaptations).</w:t>
            </w:r>
          </w:p>
        </w:tc>
      </w:tr>
      <w:tr w:rsidR="003256C0" w:rsidRPr="003256C0" w14:paraId="0D0FDFE1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11BE7FB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3. Supervision &amp; Monitoring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9F6C70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Allocate a school contact for the student during the placement.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Confirm the employer will provide adequate supervision at all times.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Maintain regular communication with the employer to monitor progress.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Have procedures in place for reporting and responding to incidents.</w:t>
            </w:r>
          </w:p>
        </w:tc>
      </w:tr>
      <w:tr w:rsidR="003256C0" w:rsidRPr="003256C0" w14:paraId="75F8AFE2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50C7063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4. Post-Placement Review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94061E7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Collect student reflection logs or reports on learning and experience.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Obtain employer feedback on student performance and engagement.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Review the placement for effectiveness and safety to inform future placements.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Update records for statutory and quality assurance purposes (e.g., Gatsby Benchmark 6).</w:t>
            </w:r>
          </w:p>
        </w:tc>
      </w:tr>
      <w:tr w:rsidR="003256C0" w:rsidRPr="003256C0" w14:paraId="2EC8D615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080708E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5. Inclusion &amp; Equity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6AD060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Ensure all students have access, including SEND or disadvantaged students.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Provide alternative arrangements (e.g., virtual placements) if needed.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Address barriers to participation such as transport or costs.</w:t>
            </w:r>
          </w:p>
        </w:tc>
      </w:tr>
      <w:tr w:rsidR="003256C0" w:rsidRPr="003256C0" w14:paraId="0B205C86" w14:textId="77777777" w:rsidTr="003256C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9C9A9FC" w14:textId="77777777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6. Documentation &amp; Compliance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88B17E3" w14:textId="2E25C322" w:rsidR="003256C0" w:rsidRPr="003256C0" w:rsidRDefault="003256C0" w:rsidP="00C576C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256C0">
              <w:rPr>
                <w:rFonts w:asciiTheme="majorHAnsi" w:hAnsiTheme="majorHAnsi" w:cstheme="majorHAnsi"/>
                <w:sz w:val="24"/>
                <w:szCs w:val="24"/>
              </w:rPr>
              <w:t>Keep records of placements, risk assessments, and communications.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Ensure the work experience programme is aligned with the careers programme and Gatsby Benchmarks.</w:t>
            </w:r>
            <w:r w:rsidRPr="003256C0">
              <w:rPr>
                <w:rFonts w:asciiTheme="majorHAnsi" w:hAnsiTheme="majorHAnsi" w:cstheme="majorHAnsi"/>
                <w:sz w:val="24"/>
                <w:szCs w:val="24"/>
              </w:rPr>
              <w:br/>
              <w:t>Publish information for parents, governors, 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nd students about the programme on the school website</w:t>
            </w:r>
          </w:p>
        </w:tc>
      </w:tr>
    </w:tbl>
    <w:p w14:paraId="20C16103" w14:textId="312FA718" w:rsidR="008B2E85" w:rsidRPr="00F50AFF" w:rsidRDefault="008B2E85" w:rsidP="00F50AFF"/>
    <w:p w14:paraId="35B38270" w14:textId="66731A7F" w:rsidR="008B2E85" w:rsidRPr="00E11AB7" w:rsidRDefault="00540BEA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7</w:t>
      </w:r>
      <w:r w:rsidR="0007449F" w:rsidRPr="00E11AB7">
        <w:rPr>
          <w:rFonts w:cstheme="majorHAnsi"/>
          <w:sz w:val="24"/>
          <w:szCs w:val="24"/>
        </w:rPr>
        <w:t>. Monitoring, Evaluation, and Quality Assurance</w:t>
      </w:r>
    </w:p>
    <w:p w14:paraId="07B131AE" w14:textId="6A791CE5" w:rsidR="008B2E85" w:rsidRPr="00E11AB7" w:rsidRDefault="00F50AFF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  <w:t>TRS will t</w:t>
      </w:r>
      <w:r w:rsidR="0007449F" w:rsidRPr="00E11AB7">
        <w:rPr>
          <w:rFonts w:asciiTheme="majorHAnsi" w:hAnsiTheme="majorHAnsi" w:cstheme="majorHAnsi"/>
          <w:sz w:val="24"/>
          <w:szCs w:val="24"/>
        </w:rPr>
        <w:t>rack participation and comple</w:t>
      </w:r>
      <w:r w:rsidR="00992159">
        <w:rPr>
          <w:rFonts w:asciiTheme="majorHAnsi" w:hAnsiTheme="majorHAnsi" w:cstheme="majorHAnsi"/>
          <w:sz w:val="24"/>
          <w:szCs w:val="24"/>
        </w:rPr>
        <w:t xml:space="preserve">tion by </w:t>
      </w:r>
      <w:r>
        <w:rPr>
          <w:rFonts w:asciiTheme="majorHAnsi" w:hAnsiTheme="majorHAnsi" w:cstheme="majorHAnsi"/>
          <w:sz w:val="24"/>
          <w:szCs w:val="24"/>
        </w:rPr>
        <w:t xml:space="preserve">pupil year and demographics </w:t>
      </w:r>
      <w:r w:rsidR="005E43BE">
        <w:rPr>
          <w:rFonts w:asciiTheme="majorHAnsi" w:hAnsiTheme="majorHAnsi" w:cstheme="majorHAnsi"/>
          <w:sz w:val="24"/>
          <w:szCs w:val="24"/>
        </w:rPr>
        <w:t xml:space="preserve">and, review collected pupil and </w:t>
      </w:r>
      <w:r w:rsidR="0007449F" w:rsidRPr="00E11AB7">
        <w:rPr>
          <w:rFonts w:asciiTheme="majorHAnsi" w:hAnsiTheme="majorHAnsi" w:cstheme="majorHAnsi"/>
          <w:sz w:val="24"/>
          <w:szCs w:val="24"/>
        </w:rPr>
        <w:t>emplo</w:t>
      </w:r>
      <w:r w:rsidR="005E43BE">
        <w:rPr>
          <w:rFonts w:asciiTheme="majorHAnsi" w:hAnsiTheme="majorHAnsi" w:cstheme="majorHAnsi"/>
          <w:sz w:val="24"/>
          <w:szCs w:val="24"/>
        </w:rPr>
        <w:t xml:space="preserve">yer feedback to ensure the quality and effectiveness of the work experience programme.  </w:t>
      </w:r>
      <w:r w:rsidR="0007449F" w:rsidRPr="00E11AB7">
        <w:rPr>
          <w:rFonts w:asciiTheme="majorHAnsi" w:hAnsiTheme="majorHAnsi" w:cstheme="majorHAnsi"/>
          <w:sz w:val="24"/>
          <w:szCs w:val="24"/>
        </w:rPr>
        <w:t xml:space="preserve">Data </w:t>
      </w:r>
      <w:r w:rsidR="005E43BE">
        <w:rPr>
          <w:rFonts w:asciiTheme="majorHAnsi" w:hAnsiTheme="majorHAnsi" w:cstheme="majorHAnsi"/>
          <w:sz w:val="24"/>
          <w:szCs w:val="24"/>
        </w:rPr>
        <w:t xml:space="preserve">will be recorded on the school </w:t>
      </w:r>
      <w:r w:rsidR="0007449F" w:rsidRPr="00E11AB7">
        <w:rPr>
          <w:rFonts w:asciiTheme="majorHAnsi" w:hAnsiTheme="majorHAnsi" w:cstheme="majorHAnsi"/>
          <w:sz w:val="24"/>
          <w:szCs w:val="24"/>
        </w:rPr>
        <w:t>Compas</w:t>
      </w:r>
      <w:r w:rsidR="005E43BE">
        <w:rPr>
          <w:rFonts w:asciiTheme="majorHAnsi" w:hAnsiTheme="majorHAnsi" w:cstheme="majorHAnsi"/>
          <w:sz w:val="24"/>
          <w:szCs w:val="24"/>
        </w:rPr>
        <w:t>s+ system as used by the Careers and Enterprise Company/Ofsted to evaluate the school careers programme, including work experience, against the Gatsby Benchmarks.</w:t>
      </w:r>
      <w:r w:rsidR="0007449F" w:rsidRPr="00E11AB7">
        <w:rPr>
          <w:rFonts w:asciiTheme="majorHAnsi" w:hAnsiTheme="majorHAnsi" w:cstheme="majorHAnsi"/>
          <w:sz w:val="24"/>
          <w:szCs w:val="24"/>
        </w:rPr>
        <w:br/>
      </w:r>
      <w:r w:rsidR="0007449F" w:rsidRPr="00E11AB7">
        <w:rPr>
          <w:rFonts w:asciiTheme="majorHAnsi" w:hAnsiTheme="majorHAnsi" w:cstheme="majorHAnsi"/>
          <w:sz w:val="24"/>
          <w:szCs w:val="24"/>
        </w:rPr>
        <w:lastRenderedPageBreak/>
        <w:br/>
        <w:t>A</w:t>
      </w:r>
      <w:r w:rsidR="005E43BE">
        <w:rPr>
          <w:rFonts w:asciiTheme="majorHAnsi" w:hAnsiTheme="majorHAnsi" w:cstheme="majorHAnsi"/>
          <w:sz w:val="24"/>
          <w:szCs w:val="24"/>
        </w:rPr>
        <w:t>n a</w:t>
      </w:r>
      <w:r w:rsidR="0007449F" w:rsidRPr="00E11AB7">
        <w:rPr>
          <w:rFonts w:asciiTheme="majorHAnsi" w:hAnsiTheme="majorHAnsi" w:cstheme="majorHAnsi"/>
          <w:sz w:val="24"/>
          <w:szCs w:val="24"/>
        </w:rPr>
        <w:t xml:space="preserve">nnual report </w:t>
      </w:r>
      <w:r w:rsidR="005E43BE">
        <w:rPr>
          <w:rFonts w:asciiTheme="majorHAnsi" w:hAnsiTheme="majorHAnsi" w:cstheme="majorHAnsi"/>
          <w:sz w:val="24"/>
          <w:szCs w:val="24"/>
        </w:rPr>
        <w:t xml:space="preserve">will be </w:t>
      </w:r>
      <w:r w:rsidR="0007449F" w:rsidRPr="00E11AB7">
        <w:rPr>
          <w:rFonts w:asciiTheme="majorHAnsi" w:hAnsiTheme="majorHAnsi" w:cstheme="majorHAnsi"/>
          <w:sz w:val="24"/>
          <w:szCs w:val="24"/>
        </w:rPr>
        <w:t>shared with governors.</w:t>
      </w:r>
    </w:p>
    <w:p w14:paraId="33CB88F9" w14:textId="0702A9CA" w:rsidR="008B2E85" w:rsidRPr="00992159" w:rsidRDefault="00540BEA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8</w:t>
      </w:r>
      <w:r w:rsidR="0007449F" w:rsidRPr="00992159">
        <w:rPr>
          <w:rFonts w:cstheme="majorHAnsi"/>
          <w:sz w:val="24"/>
          <w:szCs w:val="24"/>
        </w:rPr>
        <w:t>. Communication and Promotion</w:t>
      </w:r>
    </w:p>
    <w:p w14:paraId="22528B1B" w14:textId="512D3937" w:rsidR="008B2E85" w:rsidRPr="00992159" w:rsidRDefault="00540BEA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  <w:t xml:space="preserve">The Work Experience Policy will be </w:t>
      </w:r>
      <w:r w:rsidR="0007449F" w:rsidRPr="00992159">
        <w:rPr>
          <w:rFonts w:asciiTheme="majorHAnsi" w:hAnsiTheme="majorHAnsi" w:cstheme="majorHAnsi"/>
          <w:sz w:val="24"/>
          <w:szCs w:val="24"/>
        </w:rPr>
        <w:t xml:space="preserve">published on </w:t>
      </w:r>
      <w:r>
        <w:rPr>
          <w:rFonts w:asciiTheme="majorHAnsi" w:hAnsiTheme="majorHAnsi" w:cstheme="majorHAnsi"/>
          <w:sz w:val="24"/>
          <w:szCs w:val="24"/>
        </w:rPr>
        <w:t xml:space="preserve">the TRS school website under Personal Development and within the Careers Section. 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br/>
      </w:r>
      <w:r w:rsidR="0007449F" w:rsidRPr="00992159">
        <w:rPr>
          <w:rFonts w:asciiTheme="majorHAnsi" w:hAnsiTheme="majorHAnsi" w:cstheme="majorHAnsi"/>
          <w:sz w:val="24"/>
          <w:szCs w:val="24"/>
        </w:rPr>
        <w:t xml:space="preserve">Parents </w:t>
      </w:r>
      <w:r>
        <w:rPr>
          <w:rFonts w:asciiTheme="majorHAnsi" w:hAnsiTheme="majorHAnsi" w:cstheme="majorHAnsi"/>
          <w:sz w:val="24"/>
          <w:szCs w:val="24"/>
        </w:rPr>
        <w:t>will be kept informed of encounters and placements using the normal school contact method of email and letters.</w:t>
      </w:r>
    </w:p>
    <w:p w14:paraId="53AF4BB2" w14:textId="0A70B4C3" w:rsidR="008B2E85" w:rsidRPr="00992159" w:rsidRDefault="00540BEA" w:rsidP="00E11AB7">
      <w:pPr>
        <w:pStyle w:val="Heading1"/>
        <w:spacing w:line="240" w:lineRule="auto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9</w:t>
      </w:r>
      <w:r w:rsidR="0007449F" w:rsidRPr="00992159">
        <w:rPr>
          <w:rFonts w:cstheme="majorHAnsi"/>
          <w:sz w:val="24"/>
          <w:szCs w:val="24"/>
        </w:rPr>
        <w:t>. Policy Review</w:t>
      </w:r>
    </w:p>
    <w:p w14:paraId="06F7D10C" w14:textId="706585F6" w:rsidR="008B2E85" w:rsidRPr="00992159" w:rsidRDefault="00540BEA" w:rsidP="00E11AB7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  <w:t>TRS will review the Work Experienc</w:t>
      </w:r>
      <w:r w:rsidR="004D2F91">
        <w:rPr>
          <w:rFonts w:asciiTheme="majorHAnsi" w:hAnsiTheme="majorHAnsi" w:cstheme="majorHAnsi"/>
          <w:sz w:val="24"/>
          <w:szCs w:val="24"/>
        </w:rPr>
        <w:t>e Policy annually with Management Committee</w:t>
      </w:r>
      <w:r>
        <w:rPr>
          <w:rFonts w:asciiTheme="majorHAnsi" w:hAnsiTheme="majorHAnsi" w:cstheme="majorHAnsi"/>
          <w:sz w:val="24"/>
          <w:szCs w:val="24"/>
        </w:rPr>
        <w:t xml:space="preserve"> approval.  It will be updated to take account of feedback and any statutory changes.</w:t>
      </w:r>
      <w:r w:rsidR="0007449F" w:rsidRPr="00992159">
        <w:rPr>
          <w:rFonts w:asciiTheme="majorHAnsi" w:hAnsiTheme="majorHAnsi" w:cstheme="majorHAnsi"/>
          <w:sz w:val="24"/>
          <w:szCs w:val="24"/>
        </w:rPr>
        <w:br/>
      </w:r>
      <w:r w:rsidR="0007449F" w:rsidRPr="00992159"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</w:rPr>
        <w:t>Date of Next Review: September 2026</w:t>
      </w:r>
      <w:r w:rsidR="0007449F" w:rsidRPr="00992159">
        <w:rPr>
          <w:rFonts w:asciiTheme="majorHAnsi" w:hAnsiTheme="majorHAnsi" w:cstheme="majorHAnsi"/>
          <w:sz w:val="24"/>
          <w:szCs w:val="24"/>
        </w:rPr>
        <w:br/>
      </w:r>
    </w:p>
    <w:p w14:paraId="6C1B639E" w14:textId="77777777" w:rsidR="00992159" w:rsidRPr="00992159" w:rsidRDefault="00992159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sectPr w:rsidR="00992159" w:rsidRPr="00992159" w:rsidSect="00D206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449F"/>
    <w:rsid w:val="000C28C6"/>
    <w:rsid w:val="0015074B"/>
    <w:rsid w:val="00197201"/>
    <w:rsid w:val="001E3E17"/>
    <w:rsid w:val="0029639D"/>
    <w:rsid w:val="003256C0"/>
    <w:rsid w:val="00326F90"/>
    <w:rsid w:val="00427A65"/>
    <w:rsid w:val="004D2F91"/>
    <w:rsid w:val="00540BEA"/>
    <w:rsid w:val="005E43BE"/>
    <w:rsid w:val="007F6E74"/>
    <w:rsid w:val="008A7DB4"/>
    <w:rsid w:val="008B2E85"/>
    <w:rsid w:val="00954082"/>
    <w:rsid w:val="00992159"/>
    <w:rsid w:val="009A467A"/>
    <w:rsid w:val="009C4B59"/>
    <w:rsid w:val="009D0D7C"/>
    <w:rsid w:val="00AA1D8D"/>
    <w:rsid w:val="00B47730"/>
    <w:rsid w:val="00BB4E6D"/>
    <w:rsid w:val="00BF078D"/>
    <w:rsid w:val="00C576CF"/>
    <w:rsid w:val="00CB0664"/>
    <w:rsid w:val="00CE445A"/>
    <w:rsid w:val="00D206AD"/>
    <w:rsid w:val="00E11AB7"/>
    <w:rsid w:val="00E15B87"/>
    <w:rsid w:val="00F43685"/>
    <w:rsid w:val="00F50A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AE013"/>
  <w14:defaultImageDpi w14:val="300"/>
  <w15:docId w15:val="{4F4F0895-ADCB-4AF7-8B9F-0DEB664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4210ac-62da-443e-8698-be1a0f7a79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49A43E47A5041A5BF13B3842FF578" ma:contentTypeVersion="11" ma:contentTypeDescription="Create a new document." ma:contentTypeScope="" ma:versionID="2cc2e896f60ed01830fb9eb5d0c2ca4e">
  <xsd:schema xmlns:xsd="http://www.w3.org/2001/XMLSchema" xmlns:xs="http://www.w3.org/2001/XMLSchema" xmlns:p="http://schemas.microsoft.com/office/2006/metadata/properties" xmlns:ns3="154210ac-62da-443e-8698-be1a0f7a79cc" targetNamespace="http://schemas.microsoft.com/office/2006/metadata/properties" ma:root="true" ma:fieldsID="ebff064ab618ff595c43cab4d63b4de3" ns3:_="">
    <xsd:import namespace="154210ac-62da-443e-8698-be1a0f7a79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210ac-62da-443e-8698-be1a0f7a7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3E3D5-5CBD-4633-85DA-72030EDDF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CFCA28-BDB6-4900-A67F-9629F052A0C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54210ac-62da-443e-8698-be1a0f7a79cc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396ED2-BE6A-4957-A2EA-6BEA10AC8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210ac-62da-443e-8698-be1a0f7a7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D6797-AAF9-43BF-B1B8-9FB12E08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 Mortley</cp:lastModifiedBy>
  <cp:revision>7</cp:revision>
  <dcterms:created xsi:type="dcterms:W3CDTF">2025-10-02T09:52:00Z</dcterms:created>
  <dcterms:modified xsi:type="dcterms:W3CDTF">2025-11-13T12:46:00Z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0x0101002CD49A43E47A5041A5BF13B3842FF578</vt:lpwstr>
  </property>
</Properties>
</file>